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357DF" w14:textId="77777777" w:rsidR="009665A4" w:rsidRPr="00262481" w:rsidRDefault="009665A4" w:rsidP="009665A4">
      <w:pPr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262481">
        <w:rPr>
          <w:rFonts w:asciiTheme="majorHAnsi" w:hAnsiTheme="majorHAnsi" w:cstheme="majorHAnsi"/>
          <w:b/>
          <w:sz w:val="28"/>
          <w:u w:val="single"/>
        </w:rPr>
        <w:t>Overview of the Schemes</w:t>
      </w:r>
    </w:p>
    <w:p w14:paraId="0D6EF37C" w14:textId="66346BB2" w:rsidR="00E2316D" w:rsidRDefault="00E2316D" w:rsidP="00E2316D">
      <w:r>
        <w:t>In response</w:t>
      </w:r>
      <w:r w:rsidRPr="00E2316D">
        <w:t xml:space="preserve"> to the </w:t>
      </w:r>
      <w:r>
        <w:t xml:space="preserve">negative </w:t>
      </w:r>
      <w:r w:rsidRPr="00E2316D">
        <w:t xml:space="preserve">impact </w:t>
      </w:r>
      <w:r>
        <w:t xml:space="preserve">the </w:t>
      </w:r>
      <w:r w:rsidRPr="00E2316D">
        <w:t>Covid-19 pandemic</w:t>
      </w:r>
      <w:r>
        <w:t xml:space="preserve"> had on the economy</w:t>
      </w:r>
      <w:r w:rsidRPr="00E2316D">
        <w:t>, a series of financial assistance measures</w:t>
      </w:r>
      <w:r>
        <w:t>, aimed at supporting businesses,</w:t>
      </w:r>
      <w:r w:rsidRPr="00E2316D">
        <w:t xml:space="preserve"> </w:t>
      </w:r>
      <w:r>
        <w:t>were</w:t>
      </w:r>
      <w:r w:rsidRPr="00E2316D">
        <w:t xml:space="preserve"> announced </w:t>
      </w:r>
      <w:r>
        <w:t xml:space="preserve">by the </w:t>
      </w:r>
      <w:r w:rsidR="003C0CF6">
        <w:t>G</w:t>
      </w:r>
      <w:r>
        <w:t>overnment.</w:t>
      </w:r>
      <w:r w:rsidR="00704EE6">
        <w:t xml:space="preserve"> The main assistance measures took the form of two grant funding schemes (that were to be administered by the Local Billing Authority):</w:t>
      </w:r>
      <w:r>
        <w:t xml:space="preserve"> </w:t>
      </w:r>
      <w:r w:rsidR="00704EE6">
        <w:t>The Small Business Grant Fund and Retail, Hospitality and Leisu</w:t>
      </w:r>
      <w:r w:rsidR="00C41714">
        <w:t>re Grant Fund (March 2020), and</w:t>
      </w:r>
      <w:r w:rsidR="00704EE6">
        <w:t xml:space="preserve"> The Local Authority Discretionary Grant Fund (May 2020). </w:t>
      </w:r>
    </w:p>
    <w:p w14:paraId="747F9DFB" w14:textId="77777777" w:rsidR="00C3057F" w:rsidRPr="00262481" w:rsidRDefault="00704EE6" w:rsidP="008458FC">
      <w:pPr>
        <w:rPr>
          <w:sz w:val="24"/>
          <w:u w:val="single"/>
        </w:rPr>
      </w:pPr>
      <w:r w:rsidRPr="00262481">
        <w:rPr>
          <w:sz w:val="24"/>
          <w:u w:val="single"/>
        </w:rPr>
        <w:t>The Small Business Grant Fund and Retail, Hospitality and Leisure Grant Fund</w:t>
      </w:r>
      <w:r w:rsidR="00C3057F" w:rsidRPr="00262481">
        <w:rPr>
          <w:sz w:val="24"/>
          <w:u w:val="single"/>
        </w:rPr>
        <w:t xml:space="preserve"> </w:t>
      </w:r>
      <w:r w:rsidR="008458FC" w:rsidRPr="00262481">
        <w:rPr>
          <w:sz w:val="24"/>
          <w:u w:val="single"/>
        </w:rPr>
        <w:t xml:space="preserve">– </w:t>
      </w:r>
      <w:r w:rsidR="00C3057F" w:rsidRPr="00262481">
        <w:rPr>
          <w:i/>
          <w:sz w:val="24"/>
          <w:u w:val="single"/>
        </w:rPr>
        <w:t>The Mandatory Scheme</w:t>
      </w:r>
    </w:p>
    <w:p w14:paraId="5EDCA064" w14:textId="77777777" w:rsidR="00704EE6" w:rsidRPr="00262481" w:rsidRDefault="00704EE6" w:rsidP="00704EE6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262481">
        <w:rPr>
          <w:sz w:val="24"/>
        </w:rPr>
        <w:t>Funding was to be given to businesses who were in active occupation of a rated hereditament and were active as of the 11</w:t>
      </w:r>
      <w:r w:rsidRPr="00262481">
        <w:rPr>
          <w:sz w:val="24"/>
          <w:vertAlign w:val="superscript"/>
        </w:rPr>
        <w:t>th</w:t>
      </w:r>
      <w:r w:rsidRPr="00262481">
        <w:rPr>
          <w:sz w:val="24"/>
        </w:rPr>
        <w:t xml:space="preserve"> March 2020.</w:t>
      </w:r>
    </w:p>
    <w:p w14:paraId="5102000F" w14:textId="22AD5B0C" w:rsidR="00704EE6" w:rsidRPr="00262481" w:rsidRDefault="00704EE6" w:rsidP="00704EE6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262481">
        <w:rPr>
          <w:sz w:val="24"/>
        </w:rPr>
        <w:t>Eligible small businesses, defined as those eligible for relief under the business rate Small Business Rate Relief Scheme</w:t>
      </w:r>
      <w:r w:rsidR="000537FE" w:rsidRPr="00262481">
        <w:rPr>
          <w:sz w:val="24"/>
        </w:rPr>
        <w:t xml:space="preserve"> (SBRR)</w:t>
      </w:r>
      <w:r w:rsidR="0060005B" w:rsidRPr="00262481">
        <w:rPr>
          <w:sz w:val="24"/>
        </w:rPr>
        <w:t>, were to receive a £10,000</w:t>
      </w:r>
      <w:r w:rsidRPr="00262481">
        <w:rPr>
          <w:sz w:val="24"/>
        </w:rPr>
        <w:t xml:space="preserve"> grant. </w:t>
      </w:r>
    </w:p>
    <w:p w14:paraId="54C91039" w14:textId="77D72F7F" w:rsidR="00704EE6" w:rsidRPr="00262481" w:rsidRDefault="000537FE" w:rsidP="00704EE6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262481">
        <w:rPr>
          <w:sz w:val="24"/>
        </w:rPr>
        <w:t>Eligible b</w:t>
      </w:r>
      <w:r w:rsidR="00704EE6" w:rsidRPr="00262481">
        <w:rPr>
          <w:sz w:val="24"/>
        </w:rPr>
        <w:t xml:space="preserve">usinesses classified as being part of the retail, hospitality or leisure sector </w:t>
      </w:r>
      <w:r w:rsidRPr="00262481">
        <w:rPr>
          <w:sz w:val="24"/>
        </w:rPr>
        <w:t>would receive funding in relation to their Rateable Value (RV); businesses with a RV up to and including £15,000 would receive a £10</w:t>
      </w:r>
      <w:r w:rsidR="00FD65BE" w:rsidRPr="00262481">
        <w:rPr>
          <w:sz w:val="24"/>
        </w:rPr>
        <w:t>,000</w:t>
      </w:r>
      <w:r w:rsidRPr="00262481">
        <w:rPr>
          <w:sz w:val="24"/>
        </w:rPr>
        <w:t xml:space="preserve"> grant, and businesses with a RV of £15,000.01 - £50,999 would receive a £25K grant.</w:t>
      </w:r>
    </w:p>
    <w:p w14:paraId="40802D34" w14:textId="77777777" w:rsidR="00C3057F" w:rsidRPr="00262481" w:rsidRDefault="000537FE" w:rsidP="008458FC">
      <w:pPr>
        <w:rPr>
          <w:sz w:val="24"/>
          <w:u w:val="single"/>
        </w:rPr>
      </w:pPr>
      <w:r w:rsidRPr="00262481">
        <w:rPr>
          <w:sz w:val="24"/>
          <w:u w:val="single"/>
        </w:rPr>
        <w:t>The Local Authority Discretionary Grant Fund</w:t>
      </w:r>
      <w:r w:rsidR="008458FC" w:rsidRPr="00262481">
        <w:rPr>
          <w:sz w:val="24"/>
          <w:u w:val="single"/>
        </w:rPr>
        <w:t xml:space="preserve"> - </w:t>
      </w:r>
      <w:r w:rsidR="008458FC" w:rsidRPr="00262481">
        <w:rPr>
          <w:i/>
          <w:sz w:val="24"/>
          <w:u w:val="single"/>
        </w:rPr>
        <w:t>T</w:t>
      </w:r>
      <w:r w:rsidR="00C3057F" w:rsidRPr="00262481">
        <w:rPr>
          <w:i/>
          <w:sz w:val="24"/>
          <w:u w:val="single"/>
        </w:rPr>
        <w:t>he Discretionary Scheme</w:t>
      </w:r>
    </w:p>
    <w:p w14:paraId="1052FD35" w14:textId="30A9A9DF" w:rsidR="000537FE" w:rsidRPr="00262481" w:rsidRDefault="000537FE" w:rsidP="000537FE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262481">
        <w:rPr>
          <w:sz w:val="24"/>
        </w:rPr>
        <w:t xml:space="preserve">Funding was to be given to businesses </w:t>
      </w:r>
      <w:r w:rsidR="00FD65BE" w:rsidRPr="00262481">
        <w:rPr>
          <w:sz w:val="24"/>
        </w:rPr>
        <w:t>that</w:t>
      </w:r>
      <w:r w:rsidRPr="00262481">
        <w:rPr>
          <w:sz w:val="24"/>
        </w:rPr>
        <w:t xml:space="preserve"> were not entitled to funding under other grant schemes</w:t>
      </w:r>
      <w:r w:rsidR="00D9137C" w:rsidRPr="00262481">
        <w:rPr>
          <w:sz w:val="24"/>
        </w:rPr>
        <w:t>. The Discretionary Scheme</w:t>
      </w:r>
      <w:r w:rsidRPr="00262481">
        <w:rPr>
          <w:sz w:val="24"/>
        </w:rPr>
        <w:t xml:space="preserve"> was designed to help businesses </w:t>
      </w:r>
      <w:r w:rsidR="00262481">
        <w:rPr>
          <w:sz w:val="24"/>
        </w:rPr>
        <w:t xml:space="preserve">who occupy shared work spaces, </w:t>
      </w:r>
      <w:r w:rsidR="00C41714">
        <w:rPr>
          <w:sz w:val="24"/>
        </w:rPr>
        <w:t xml:space="preserve">market traders, </w:t>
      </w:r>
      <w:r w:rsidRPr="00262481">
        <w:rPr>
          <w:sz w:val="24"/>
        </w:rPr>
        <w:t xml:space="preserve">charities, or have a council tax assessment rather than a </w:t>
      </w:r>
      <w:r w:rsidR="00FD65BE" w:rsidRPr="00262481">
        <w:rPr>
          <w:sz w:val="24"/>
        </w:rPr>
        <w:t xml:space="preserve">Non-Domestic Rates assessment. </w:t>
      </w:r>
      <w:r w:rsidRPr="00262481">
        <w:rPr>
          <w:sz w:val="24"/>
        </w:rPr>
        <w:t xml:space="preserve"> Businesses were eligible if there were active as of the 11</w:t>
      </w:r>
      <w:r w:rsidRPr="00262481">
        <w:rPr>
          <w:sz w:val="24"/>
          <w:vertAlign w:val="superscript"/>
        </w:rPr>
        <w:t>th</w:t>
      </w:r>
      <w:r w:rsidRPr="00262481">
        <w:rPr>
          <w:sz w:val="24"/>
        </w:rPr>
        <w:t xml:space="preserve"> March 2020, and all other criteria were set by the respective Local Authority.</w:t>
      </w:r>
    </w:p>
    <w:p w14:paraId="5DE8EE76" w14:textId="73F53317" w:rsidR="000537FE" w:rsidRPr="00262481" w:rsidRDefault="000537FE" w:rsidP="000537FE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262481">
        <w:rPr>
          <w:sz w:val="24"/>
        </w:rPr>
        <w:t xml:space="preserve">Funding was capped at £25K, and the exact amount to be given was discretionary. </w:t>
      </w:r>
    </w:p>
    <w:p w14:paraId="69AB995F" w14:textId="77777777" w:rsidR="00FD65BE" w:rsidRPr="00262481" w:rsidRDefault="00FD65BE" w:rsidP="009665A4">
      <w:pPr>
        <w:jc w:val="center"/>
        <w:rPr>
          <w:rFonts w:asciiTheme="majorHAnsi" w:hAnsiTheme="majorHAnsi" w:cstheme="majorHAnsi"/>
          <w:b/>
          <w:sz w:val="28"/>
          <w:u w:val="single"/>
        </w:rPr>
      </w:pPr>
    </w:p>
    <w:p w14:paraId="2AAB7E6D" w14:textId="77777777" w:rsidR="000537FE" w:rsidRPr="00262481" w:rsidRDefault="009665A4" w:rsidP="009665A4">
      <w:pPr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262481">
        <w:rPr>
          <w:rFonts w:asciiTheme="majorHAnsi" w:hAnsiTheme="majorHAnsi" w:cstheme="majorHAnsi"/>
          <w:b/>
          <w:sz w:val="28"/>
          <w:u w:val="single"/>
        </w:rPr>
        <w:t xml:space="preserve">Fraud Risk </w:t>
      </w:r>
      <w:r w:rsidR="000537FE" w:rsidRPr="00262481">
        <w:rPr>
          <w:rFonts w:asciiTheme="majorHAnsi" w:hAnsiTheme="majorHAnsi" w:cstheme="majorHAnsi"/>
          <w:b/>
          <w:sz w:val="28"/>
          <w:u w:val="single"/>
        </w:rPr>
        <w:t>Mitigation</w:t>
      </w:r>
    </w:p>
    <w:p w14:paraId="101DF84A" w14:textId="70B0758C" w:rsidR="00125E27" w:rsidRPr="00262481" w:rsidRDefault="00C3057F" w:rsidP="000537FE">
      <w:pPr>
        <w:rPr>
          <w:sz w:val="24"/>
        </w:rPr>
      </w:pPr>
      <w:r w:rsidRPr="00262481">
        <w:rPr>
          <w:sz w:val="24"/>
        </w:rPr>
        <w:t>Once the schemes were announced the Investigation Team began reviewing the guidance to produce a Fraud Risk Assessment. To mitigate the identified risks, and prevent fraud loss and error, the team developed a Due Diligence procedure utilising</w:t>
      </w:r>
      <w:r w:rsidR="00FD65BE" w:rsidRPr="00262481">
        <w:rPr>
          <w:sz w:val="24"/>
        </w:rPr>
        <w:t xml:space="preserve"> trusted third party resources</w:t>
      </w:r>
      <w:r w:rsidRPr="00262481">
        <w:rPr>
          <w:sz w:val="24"/>
        </w:rPr>
        <w:t>.</w:t>
      </w:r>
      <w:r w:rsidR="0039656B" w:rsidRPr="00262481">
        <w:rPr>
          <w:sz w:val="24"/>
        </w:rPr>
        <w:t xml:space="preserve"> </w:t>
      </w:r>
      <w:r w:rsidR="003C0CF6" w:rsidRPr="00262481">
        <w:rPr>
          <w:sz w:val="24"/>
        </w:rPr>
        <w:t>The G</w:t>
      </w:r>
      <w:r w:rsidR="008458FC" w:rsidRPr="00262481">
        <w:rPr>
          <w:sz w:val="24"/>
        </w:rPr>
        <w:t>overnment provided little guidance on how to mitigate fraud and as a result</w:t>
      </w:r>
      <w:r w:rsidR="00FD65BE" w:rsidRPr="00262481">
        <w:rPr>
          <w:sz w:val="24"/>
        </w:rPr>
        <w:t>,</w:t>
      </w:r>
      <w:r w:rsidR="008458FC" w:rsidRPr="00262481">
        <w:rPr>
          <w:sz w:val="24"/>
        </w:rPr>
        <w:t xml:space="preserve"> </w:t>
      </w:r>
      <w:r w:rsidR="000D322C" w:rsidRPr="00262481">
        <w:rPr>
          <w:sz w:val="24"/>
        </w:rPr>
        <w:t xml:space="preserve">there were differing methods used by Local Authorities in terms </w:t>
      </w:r>
      <w:r w:rsidR="000D322C" w:rsidRPr="00262481">
        <w:rPr>
          <w:sz w:val="24"/>
        </w:rPr>
        <w:lastRenderedPageBreak/>
        <w:t xml:space="preserve">of </w:t>
      </w:r>
      <w:r w:rsidR="008458FC" w:rsidRPr="00262481">
        <w:rPr>
          <w:sz w:val="24"/>
        </w:rPr>
        <w:t>preventative action.</w:t>
      </w:r>
      <w:r w:rsidR="00C61075" w:rsidRPr="00262481">
        <w:rPr>
          <w:sz w:val="24"/>
        </w:rPr>
        <w:t xml:space="preserve"> It was agreed that OCC would take a robust approach to counter-fraud measures as the funds were limited and there was no guarantee that the Government would agree to refund LAs for funds fraudulently obtained.</w:t>
      </w:r>
    </w:p>
    <w:p w14:paraId="68CAD671" w14:textId="6F17D4F6" w:rsidR="0025483F" w:rsidRPr="00262481" w:rsidRDefault="003F1756" w:rsidP="000537FE">
      <w:pPr>
        <w:rPr>
          <w:sz w:val="24"/>
        </w:rPr>
      </w:pPr>
      <w:r w:rsidRPr="00262481">
        <w:rPr>
          <w:sz w:val="24"/>
        </w:rPr>
        <w:t>T</w:t>
      </w:r>
      <w:r w:rsidR="0025483F" w:rsidRPr="00262481">
        <w:rPr>
          <w:sz w:val="24"/>
        </w:rPr>
        <w:t>he Investigation Team worked with the administrators of the schemes to produce an application form that would:</w:t>
      </w:r>
    </w:p>
    <w:p w14:paraId="4891A9A8" w14:textId="77777777" w:rsidR="0039656B" w:rsidRPr="00262481" w:rsidRDefault="0025483F" w:rsidP="0025483F">
      <w:pPr>
        <w:pStyle w:val="ListParagraph"/>
        <w:numPr>
          <w:ilvl w:val="0"/>
          <w:numId w:val="1"/>
        </w:numPr>
        <w:rPr>
          <w:sz w:val="24"/>
        </w:rPr>
      </w:pPr>
      <w:r w:rsidRPr="00262481">
        <w:rPr>
          <w:sz w:val="24"/>
        </w:rPr>
        <w:t xml:space="preserve">Gather data required for the accurate allocation of the funding in accordance with the guidance </w:t>
      </w:r>
    </w:p>
    <w:p w14:paraId="17266E7F" w14:textId="77777777" w:rsidR="0025483F" w:rsidRPr="00262481" w:rsidRDefault="0025483F" w:rsidP="0025483F">
      <w:pPr>
        <w:pStyle w:val="ListParagraph"/>
        <w:numPr>
          <w:ilvl w:val="0"/>
          <w:numId w:val="1"/>
        </w:numPr>
        <w:rPr>
          <w:sz w:val="24"/>
        </w:rPr>
      </w:pPr>
      <w:r w:rsidRPr="00262481">
        <w:rPr>
          <w:sz w:val="24"/>
        </w:rPr>
        <w:t>Inform the applicants how their data would be used</w:t>
      </w:r>
    </w:p>
    <w:p w14:paraId="3869B728" w14:textId="77777777" w:rsidR="0025483F" w:rsidRPr="00262481" w:rsidRDefault="0025483F" w:rsidP="0025483F">
      <w:pPr>
        <w:pStyle w:val="ListParagraph"/>
        <w:numPr>
          <w:ilvl w:val="0"/>
          <w:numId w:val="1"/>
        </w:numPr>
        <w:rPr>
          <w:sz w:val="24"/>
        </w:rPr>
      </w:pPr>
      <w:r w:rsidRPr="00262481">
        <w:rPr>
          <w:sz w:val="24"/>
        </w:rPr>
        <w:t xml:space="preserve">Deter fraudsters by including strong counter-fraud declarations </w:t>
      </w:r>
    </w:p>
    <w:p w14:paraId="4AA45C23" w14:textId="77777777" w:rsidR="0025483F" w:rsidRPr="00262481" w:rsidRDefault="0025483F" w:rsidP="0025483F">
      <w:pPr>
        <w:rPr>
          <w:sz w:val="24"/>
        </w:rPr>
      </w:pPr>
      <w:r w:rsidRPr="00262481">
        <w:rPr>
          <w:sz w:val="24"/>
        </w:rPr>
        <w:t>Using this data the Investigation Team then proceeded to:</w:t>
      </w:r>
    </w:p>
    <w:p w14:paraId="1E6F860E" w14:textId="77777777" w:rsidR="0025483F" w:rsidRPr="00262481" w:rsidRDefault="0025483F" w:rsidP="0025483F">
      <w:pPr>
        <w:pStyle w:val="ListParagraph"/>
        <w:numPr>
          <w:ilvl w:val="0"/>
          <w:numId w:val="1"/>
        </w:numPr>
        <w:rPr>
          <w:sz w:val="24"/>
        </w:rPr>
      </w:pPr>
      <w:r w:rsidRPr="00262481">
        <w:rPr>
          <w:sz w:val="24"/>
        </w:rPr>
        <w:t xml:space="preserve">Verify the applicant’s </w:t>
      </w:r>
      <w:r w:rsidR="00125E27" w:rsidRPr="00262481">
        <w:rPr>
          <w:sz w:val="24"/>
        </w:rPr>
        <w:t>basic</w:t>
      </w:r>
      <w:r w:rsidRPr="00262481">
        <w:rPr>
          <w:sz w:val="24"/>
        </w:rPr>
        <w:t xml:space="preserve"> entitlement (using modelling data from the revenues team, or as advised by the ‘Discretionary Scheme’ panel)</w:t>
      </w:r>
    </w:p>
    <w:p w14:paraId="37768AAC" w14:textId="77777777" w:rsidR="0025483F" w:rsidRPr="00262481" w:rsidRDefault="0025483F" w:rsidP="0025483F">
      <w:pPr>
        <w:pStyle w:val="ListParagraph"/>
        <w:numPr>
          <w:ilvl w:val="0"/>
          <w:numId w:val="1"/>
        </w:numPr>
        <w:rPr>
          <w:sz w:val="24"/>
        </w:rPr>
      </w:pPr>
      <w:r w:rsidRPr="00262481">
        <w:rPr>
          <w:sz w:val="24"/>
        </w:rPr>
        <w:t>Complete due diligence on the business and the applicant, using a three step process</w:t>
      </w:r>
      <w:r w:rsidR="00CA018B" w:rsidRPr="00262481">
        <w:rPr>
          <w:sz w:val="24"/>
        </w:rPr>
        <w:t xml:space="preserve"> where </w:t>
      </w:r>
      <w:r w:rsidR="00125E27" w:rsidRPr="00262481">
        <w:rPr>
          <w:sz w:val="24"/>
        </w:rPr>
        <w:t>the team</w:t>
      </w:r>
      <w:r w:rsidR="00CA018B" w:rsidRPr="00262481">
        <w:rPr>
          <w:sz w:val="24"/>
        </w:rPr>
        <w:t xml:space="preserve"> would</w:t>
      </w:r>
      <w:r w:rsidRPr="00262481">
        <w:rPr>
          <w:sz w:val="24"/>
        </w:rPr>
        <w:t>:</w:t>
      </w:r>
    </w:p>
    <w:p w14:paraId="59B2BC2E" w14:textId="77777777" w:rsidR="0025483F" w:rsidRPr="00262481" w:rsidRDefault="0025483F" w:rsidP="0025483F">
      <w:pPr>
        <w:pStyle w:val="ListParagraph"/>
        <w:numPr>
          <w:ilvl w:val="1"/>
          <w:numId w:val="1"/>
        </w:numPr>
        <w:rPr>
          <w:sz w:val="24"/>
        </w:rPr>
      </w:pPr>
      <w:r w:rsidRPr="00262481">
        <w:rPr>
          <w:sz w:val="24"/>
        </w:rPr>
        <w:t>Confirm the identity of the applicant</w:t>
      </w:r>
      <w:r w:rsidR="009665A4" w:rsidRPr="00262481">
        <w:rPr>
          <w:rStyle w:val="FootnoteReference"/>
          <w:sz w:val="24"/>
        </w:rPr>
        <w:footnoteReference w:id="1"/>
      </w:r>
      <w:r w:rsidRPr="00262481">
        <w:rPr>
          <w:sz w:val="24"/>
        </w:rPr>
        <w:t xml:space="preserve"> </w:t>
      </w:r>
    </w:p>
    <w:p w14:paraId="38EA066E" w14:textId="77777777" w:rsidR="009665A4" w:rsidRPr="00262481" w:rsidRDefault="0025483F" w:rsidP="00DD43FC">
      <w:pPr>
        <w:pStyle w:val="ListParagraph"/>
        <w:numPr>
          <w:ilvl w:val="1"/>
          <w:numId w:val="1"/>
        </w:numPr>
        <w:rPr>
          <w:sz w:val="24"/>
        </w:rPr>
      </w:pPr>
      <w:r w:rsidRPr="00262481">
        <w:rPr>
          <w:sz w:val="24"/>
        </w:rPr>
        <w:t>Check that the business was not insolvent, dissolved, or otherwise not trading</w:t>
      </w:r>
      <w:r w:rsidR="009665A4" w:rsidRPr="00262481">
        <w:rPr>
          <w:rStyle w:val="FootnoteReference"/>
          <w:sz w:val="24"/>
        </w:rPr>
        <w:footnoteReference w:id="2"/>
      </w:r>
      <w:r w:rsidRPr="00262481">
        <w:rPr>
          <w:sz w:val="24"/>
        </w:rPr>
        <w:t xml:space="preserve"> </w:t>
      </w:r>
    </w:p>
    <w:p w14:paraId="05057C03" w14:textId="77777777" w:rsidR="00CA018B" w:rsidRPr="00262481" w:rsidRDefault="00CA018B" w:rsidP="00DD43FC">
      <w:pPr>
        <w:pStyle w:val="ListParagraph"/>
        <w:numPr>
          <w:ilvl w:val="1"/>
          <w:numId w:val="1"/>
        </w:numPr>
        <w:rPr>
          <w:sz w:val="24"/>
        </w:rPr>
      </w:pPr>
      <w:r w:rsidRPr="00262481">
        <w:rPr>
          <w:sz w:val="24"/>
        </w:rPr>
        <w:t>Confirm that the applicant and business was not a known fraudster</w:t>
      </w:r>
      <w:r w:rsidR="009665A4" w:rsidRPr="00262481">
        <w:rPr>
          <w:rStyle w:val="FootnoteReference"/>
          <w:sz w:val="24"/>
        </w:rPr>
        <w:footnoteReference w:id="3"/>
      </w:r>
      <w:r w:rsidRPr="00262481">
        <w:rPr>
          <w:sz w:val="24"/>
        </w:rPr>
        <w:t xml:space="preserve"> </w:t>
      </w:r>
    </w:p>
    <w:p w14:paraId="330FEF82" w14:textId="6D7BF031" w:rsidR="000636D1" w:rsidRPr="00262481" w:rsidRDefault="00CA018B">
      <w:pPr>
        <w:rPr>
          <w:sz w:val="24"/>
        </w:rPr>
      </w:pPr>
      <w:r w:rsidRPr="00262481">
        <w:rPr>
          <w:sz w:val="24"/>
        </w:rPr>
        <w:t>All verified and ‘Cleared’ applications were then approved by the Investigation Team for payment.</w:t>
      </w:r>
      <w:r w:rsidR="00D06073" w:rsidRPr="00262481">
        <w:rPr>
          <w:sz w:val="24"/>
        </w:rPr>
        <w:t xml:space="preserve"> In instances where checks failed or concerns were raised</w:t>
      </w:r>
      <w:r w:rsidR="000636D1" w:rsidRPr="00262481">
        <w:rPr>
          <w:sz w:val="24"/>
        </w:rPr>
        <w:t>,</w:t>
      </w:r>
      <w:r w:rsidR="00D06073" w:rsidRPr="00262481">
        <w:rPr>
          <w:sz w:val="24"/>
        </w:rPr>
        <w:t xml:space="preserve"> applications were investigated on a case-by-case basis to resolution (either rejection or approval). </w:t>
      </w:r>
      <w:r w:rsidR="008458FC" w:rsidRPr="00262481">
        <w:rPr>
          <w:sz w:val="24"/>
        </w:rPr>
        <w:t>I</w:t>
      </w:r>
      <w:r w:rsidR="00D06073" w:rsidRPr="00262481">
        <w:rPr>
          <w:sz w:val="24"/>
        </w:rPr>
        <w:t>nvestigations</w:t>
      </w:r>
      <w:r w:rsidR="008458FC" w:rsidRPr="00262481">
        <w:rPr>
          <w:sz w:val="24"/>
        </w:rPr>
        <w:t xml:space="preserve"> into these suspected fraud cases</w:t>
      </w:r>
      <w:r w:rsidR="00D06073" w:rsidRPr="00262481">
        <w:rPr>
          <w:sz w:val="24"/>
        </w:rPr>
        <w:t xml:space="preserve"> are </w:t>
      </w:r>
      <w:r w:rsidR="008458FC" w:rsidRPr="00262481">
        <w:rPr>
          <w:sz w:val="24"/>
        </w:rPr>
        <w:t>currently underway.</w:t>
      </w:r>
    </w:p>
    <w:p w14:paraId="3E732E98" w14:textId="46BA77F8" w:rsidR="00E42893" w:rsidRPr="00262481" w:rsidRDefault="00C3057F">
      <w:pPr>
        <w:rPr>
          <w:sz w:val="24"/>
        </w:rPr>
      </w:pPr>
      <w:r w:rsidRPr="00262481">
        <w:rPr>
          <w:sz w:val="24"/>
        </w:rPr>
        <w:t xml:space="preserve">The process was developed </w:t>
      </w:r>
      <w:r w:rsidR="0039656B" w:rsidRPr="00262481">
        <w:rPr>
          <w:sz w:val="24"/>
        </w:rPr>
        <w:t xml:space="preserve">to be non-intrusive and ‘Light-Touch’ whilst ensuring separation of duties and speedy delivery of funding. The work was undertaken as a joint effort </w:t>
      </w:r>
      <w:r w:rsidRPr="00262481">
        <w:rPr>
          <w:sz w:val="24"/>
        </w:rPr>
        <w:t>in collaboration with t</w:t>
      </w:r>
      <w:r w:rsidR="0039656B" w:rsidRPr="00262481">
        <w:rPr>
          <w:sz w:val="24"/>
        </w:rPr>
        <w:t>he administrators of the schemes</w:t>
      </w:r>
      <w:r w:rsidR="009665A4" w:rsidRPr="00262481">
        <w:rPr>
          <w:sz w:val="24"/>
        </w:rPr>
        <w:t xml:space="preserve"> and</w:t>
      </w:r>
      <w:r w:rsidR="0039656B" w:rsidRPr="00262481">
        <w:rPr>
          <w:sz w:val="24"/>
        </w:rPr>
        <w:t xml:space="preserve"> was continually adapted throughout the duration of the administration of the schemes. </w:t>
      </w:r>
    </w:p>
    <w:p w14:paraId="77D2A0F3" w14:textId="5F847D5E" w:rsidR="000636D1" w:rsidRPr="00262481" w:rsidRDefault="000636D1" w:rsidP="00A708DB">
      <w:pPr>
        <w:rPr>
          <w:rFonts w:asciiTheme="majorHAnsi" w:hAnsiTheme="majorHAnsi" w:cstheme="majorHAnsi"/>
          <w:b/>
          <w:sz w:val="28"/>
          <w:u w:val="single"/>
        </w:rPr>
      </w:pPr>
      <w:r w:rsidRPr="00262481">
        <w:rPr>
          <w:sz w:val="24"/>
        </w:rPr>
        <w:t xml:space="preserve">The deadline for applications was 28 August 2020 with all payments to be made by 30 September. The data below is </w:t>
      </w:r>
      <w:r w:rsidR="00A708DB" w:rsidRPr="00262481">
        <w:rPr>
          <w:sz w:val="24"/>
        </w:rPr>
        <w:t>reflective of the date of compilation, 28 September 2020.</w:t>
      </w:r>
    </w:p>
    <w:p w14:paraId="25ED74C6" w14:textId="09F03977" w:rsidR="00D9137C" w:rsidRDefault="00D9137C">
      <w:pPr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lastRenderedPageBreak/>
        <w:br w:type="page"/>
      </w:r>
    </w:p>
    <w:p w14:paraId="5FD94BB7" w14:textId="77777777" w:rsidR="000636D1" w:rsidRDefault="000636D1" w:rsidP="00D9137C">
      <w:pPr>
        <w:rPr>
          <w:rFonts w:asciiTheme="majorHAnsi" w:hAnsiTheme="majorHAnsi" w:cstheme="majorHAnsi"/>
          <w:b/>
          <w:sz w:val="24"/>
          <w:u w:val="single"/>
        </w:rPr>
      </w:pPr>
    </w:p>
    <w:p w14:paraId="63CF5D33" w14:textId="5C3E1B8E" w:rsidR="00BC0B8B" w:rsidRPr="00E42893" w:rsidRDefault="00BC0B8B" w:rsidP="00E42893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E42893">
        <w:rPr>
          <w:rFonts w:asciiTheme="majorHAnsi" w:hAnsiTheme="majorHAnsi" w:cstheme="majorHAnsi"/>
          <w:b/>
          <w:sz w:val="24"/>
          <w:u w:val="single"/>
        </w:rPr>
        <w:t>Results</w:t>
      </w:r>
      <w:r w:rsidR="00E42893">
        <w:rPr>
          <w:rFonts w:asciiTheme="majorHAnsi" w:hAnsiTheme="majorHAnsi" w:cstheme="majorHAnsi"/>
          <w:b/>
          <w:sz w:val="24"/>
          <w:u w:val="single"/>
        </w:rPr>
        <w:t xml:space="preserve"> of Intervention</w:t>
      </w:r>
      <w:r w:rsidRPr="00E42893">
        <w:rPr>
          <w:rFonts w:asciiTheme="majorHAnsi" w:hAnsiTheme="majorHAnsi" w:cstheme="majorHAnsi"/>
          <w:b/>
          <w:sz w:val="24"/>
          <w:u w:val="single"/>
        </w:rPr>
        <w:t>:</w:t>
      </w:r>
    </w:p>
    <w:tbl>
      <w:tblPr>
        <w:tblW w:w="13474" w:type="dxa"/>
        <w:tblLook w:val="04A0" w:firstRow="1" w:lastRow="0" w:firstColumn="1" w:lastColumn="0" w:noHBand="0" w:noVBand="1"/>
      </w:tblPr>
      <w:tblGrid>
        <w:gridCol w:w="4000"/>
        <w:gridCol w:w="960"/>
        <w:gridCol w:w="989"/>
        <w:gridCol w:w="1417"/>
        <w:gridCol w:w="1560"/>
        <w:gridCol w:w="1287"/>
        <w:gridCol w:w="3261"/>
      </w:tblGrid>
      <w:tr w:rsidR="009665A4" w:rsidRPr="00016AEE" w14:paraId="07DDC86F" w14:textId="77777777" w:rsidTr="009665A4">
        <w:trPr>
          <w:trHeight w:val="36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5376185" w14:textId="77777777" w:rsidR="00016AEE" w:rsidRPr="00016AEE" w:rsidRDefault="00016AEE" w:rsidP="00E4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Mandatory Scheme Applications Rejected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A4E5AF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90C5785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SBGF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866733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RLHGF Lower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4320038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RLHGF Higher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3F455F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Unclassified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555654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Estimated Value</w:t>
            </w:r>
          </w:p>
        </w:tc>
      </w:tr>
      <w:tr w:rsidR="009665A4" w:rsidRPr="00016AEE" w14:paraId="7E2E27F9" w14:textId="77777777" w:rsidTr="009665A4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FDCC" w14:textId="77777777" w:rsidR="00016AEE" w:rsidRPr="00016AEE" w:rsidRDefault="00016AEE" w:rsidP="00016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Blank Applications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324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2BD6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8AE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DDF0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E1AF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178" w14:textId="43610A1E" w:rsidR="00016AEE" w:rsidRPr="00016AEE" w:rsidRDefault="000636D1" w:rsidP="00063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9665A4" w:rsidRPr="00016AEE" w14:paraId="2A8D8146" w14:textId="77777777" w:rsidTr="009665A4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846D" w14:textId="77777777" w:rsidR="00016AEE" w:rsidRPr="00016AEE" w:rsidRDefault="00016AEE" w:rsidP="00016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Classified as ineligible by Revenues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24F0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EC5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55A1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0D9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2083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3DD3" w14:textId="06BF8353" w:rsidR="00016AEE" w:rsidRPr="00016AEE" w:rsidRDefault="000636D1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9665A4" w:rsidRPr="00016AEE" w14:paraId="2C26878C" w14:textId="77777777" w:rsidTr="009665A4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1A5280F" w14:textId="77777777" w:rsidR="00016AEE" w:rsidRPr="00016AEE" w:rsidRDefault="00016AEE" w:rsidP="00016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Duplicate Applications Submitted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81D2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1BDF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17E5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CE2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6B21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D9E1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£2,150,000.00</w:t>
            </w:r>
          </w:p>
        </w:tc>
      </w:tr>
      <w:tr w:rsidR="009665A4" w:rsidRPr="00016AEE" w14:paraId="6A69F27A" w14:textId="77777777" w:rsidTr="009665A4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D2AD488" w14:textId="77777777" w:rsidR="00016AEE" w:rsidRPr="00016AEE" w:rsidRDefault="00016AEE" w:rsidP="00016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Property listed as Empty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AF8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B5B5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C3E1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9ADB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90CF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3974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£95,000.00</w:t>
            </w:r>
          </w:p>
        </w:tc>
      </w:tr>
      <w:tr w:rsidR="009665A4" w:rsidRPr="00016AEE" w14:paraId="19EA5138" w14:textId="77777777" w:rsidTr="009665A4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7D881C44" w14:textId="77777777" w:rsidR="00016AEE" w:rsidRPr="00016AEE" w:rsidRDefault="00E42893" w:rsidP="00016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Missing/Requested Information Not Provided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56C2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4CA2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BBDE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565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D40C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C0D3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£700,000.00</w:t>
            </w:r>
          </w:p>
        </w:tc>
      </w:tr>
      <w:tr w:rsidR="009665A4" w:rsidRPr="00016AEE" w14:paraId="2790D51A" w14:textId="77777777" w:rsidTr="009665A4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D3AA0C4" w14:textId="77777777" w:rsidR="00016AEE" w:rsidRPr="00016AEE" w:rsidRDefault="00016AEE" w:rsidP="00016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Applicant is not the legitimate Occupier/Ratepayer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DB9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8FA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BF56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08C8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F85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9A5D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£301,000.00</w:t>
            </w:r>
          </w:p>
        </w:tc>
      </w:tr>
      <w:tr w:rsidR="009665A4" w:rsidRPr="00016AEE" w14:paraId="403D2A0C" w14:textId="77777777" w:rsidTr="009665A4">
        <w:trPr>
          <w:trHeight w:val="5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A4C0EE6" w14:textId="77777777" w:rsidR="00016AEE" w:rsidRPr="00016AEE" w:rsidRDefault="00016AEE" w:rsidP="00016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Business and/or Premises 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ot in Business Rates Database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OR</w:t>
            </w: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 Assessment Present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8032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D4B5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F5BA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AF77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72B2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0A47" w14:textId="1CB2B6F9" w:rsidR="00016AEE" w:rsidRPr="00016AEE" w:rsidRDefault="000636D1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9665A4" w:rsidRPr="00016AEE" w14:paraId="550E790D" w14:textId="77777777" w:rsidTr="009665A4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0582E9B3" w14:textId="77777777" w:rsidR="00016AEE" w:rsidRPr="00016AEE" w:rsidRDefault="00016AEE" w:rsidP="00016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Failed Due Diligence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3B9E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C9BB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E0A7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38B7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9A5A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2850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£95,000.00</w:t>
            </w:r>
          </w:p>
        </w:tc>
      </w:tr>
      <w:tr w:rsidR="009665A4" w:rsidRPr="00016AEE" w14:paraId="3A1BA325" w14:textId="77777777" w:rsidTr="009665A4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2746C875" w14:textId="77777777" w:rsidR="00016AEE" w:rsidRPr="00016AEE" w:rsidRDefault="00016AEE" w:rsidP="00016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F716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4E1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5611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AB36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F2B5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D86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£20,000.00</w:t>
            </w:r>
          </w:p>
        </w:tc>
      </w:tr>
      <w:tr w:rsidR="009665A4" w:rsidRPr="00016AEE" w14:paraId="79FB1262" w14:textId="77777777" w:rsidTr="009665A4">
        <w:trPr>
          <w:trHeight w:val="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4E9563" w14:textId="77777777" w:rsidR="00016AEE" w:rsidRPr="00016AEE" w:rsidRDefault="00016AEE" w:rsidP="00016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C5D3BA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5B78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65A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7788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177844" w14:textId="77777777" w:rsidR="00016AEE" w:rsidRPr="00016AEE" w:rsidRDefault="00016AEE" w:rsidP="00016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6DBD11" w14:textId="77777777" w:rsidR="00016AEE" w:rsidRPr="00016AEE" w:rsidRDefault="00016AEE" w:rsidP="0001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6AEE">
              <w:rPr>
                <w:rFonts w:ascii="Calibri" w:eastAsia="Times New Roman" w:hAnsi="Calibri" w:cs="Calibri"/>
                <w:color w:val="000000"/>
                <w:lang w:eastAsia="en-GB"/>
              </w:rPr>
              <w:t>£3,361,000.00</w:t>
            </w:r>
          </w:p>
        </w:tc>
      </w:tr>
    </w:tbl>
    <w:p w14:paraId="2FFD384E" w14:textId="77777777" w:rsidR="007E60C0" w:rsidRDefault="007E60C0"/>
    <w:tbl>
      <w:tblPr>
        <w:tblpPr w:leftFromText="180" w:rightFromText="180" w:vertAnchor="text" w:tblpY="1"/>
        <w:tblOverlap w:val="never"/>
        <w:tblW w:w="6940" w:type="dxa"/>
        <w:tblLook w:val="04A0" w:firstRow="1" w:lastRow="0" w:firstColumn="1" w:lastColumn="0" w:noHBand="0" w:noVBand="1"/>
      </w:tblPr>
      <w:tblGrid>
        <w:gridCol w:w="4957"/>
        <w:gridCol w:w="669"/>
        <w:gridCol w:w="1680"/>
      </w:tblGrid>
      <w:tr w:rsidR="00E42893" w:rsidRPr="00E42893" w14:paraId="1FCDDEB4" w14:textId="77777777" w:rsidTr="00E42893">
        <w:trPr>
          <w:trHeight w:val="4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065E82C" w14:textId="77777777" w:rsidR="00E42893" w:rsidRPr="00E42893" w:rsidRDefault="00E42893" w:rsidP="00E4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Discretionary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Scheme Applications Rejected 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889FAD" w14:textId="77777777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627276" w14:textId="77777777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Estimated Value</w:t>
            </w:r>
          </w:p>
        </w:tc>
      </w:tr>
      <w:tr w:rsidR="00E42893" w:rsidRPr="00E42893" w14:paraId="6DBE4F48" w14:textId="77777777" w:rsidTr="00E42893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6975" w14:textId="77777777" w:rsidR="00E42893" w:rsidRPr="00E42893" w:rsidRDefault="00E42893" w:rsidP="00E4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Not put forward for Payment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8953" w14:textId="77777777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392E" w14:textId="37BEFAF4" w:rsidR="00E42893" w:rsidRPr="00E42893" w:rsidRDefault="00E7245E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E42893" w:rsidRPr="00E42893" w14:paraId="1DE40500" w14:textId="77777777" w:rsidTr="00E42893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787D" w14:textId="13D40202" w:rsidR="00E42893" w:rsidRPr="00E42893" w:rsidRDefault="00E7245E" w:rsidP="00E4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Rejecte</w:t>
            </w:r>
            <w:r w:rsidR="00E42893"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d by Revenues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CA7" w14:textId="5889E165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2F4" w14:textId="60F99A51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£117,600.00</w:t>
            </w:r>
          </w:p>
        </w:tc>
      </w:tr>
      <w:tr w:rsidR="00E42893" w:rsidRPr="00E42893" w14:paraId="49DC7242" w14:textId="77777777" w:rsidTr="00E42893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A09C3A" w14:textId="77777777" w:rsidR="00E42893" w:rsidRPr="00E42893" w:rsidRDefault="00E42893" w:rsidP="00E4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Missing/Requested Information Not Provided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4FF" w14:textId="77777777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201" w14:textId="77777777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£14,000.00</w:t>
            </w:r>
          </w:p>
        </w:tc>
      </w:tr>
      <w:tr w:rsidR="00E42893" w:rsidRPr="00E42893" w14:paraId="2465D20A" w14:textId="77777777" w:rsidTr="00E42893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9183C46" w14:textId="77777777" w:rsidR="00E42893" w:rsidRPr="00E42893" w:rsidRDefault="00E42893" w:rsidP="00E4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Not trading on 11th March 2020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0B4B" w14:textId="77777777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91F" w14:textId="77777777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£4,500.00</w:t>
            </w:r>
          </w:p>
        </w:tc>
      </w:tr>
      <w:tr w:rsidR="00E42893" w:rsidRPr="00E42893" w14:paraId="1A6F3881" w14:textId="77777777" w:rsidTr="00E42893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137930F" w14:textId="77777777" w:rsidR="00E42893" w:rsidRPr="00E42893" w:rsidRDefault="00E42893" w:rsidP="00E4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Funded by other Authority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A6F3" w14:textId="77777777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5E6" w14:textId="77777777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£13,600.00</w:t>
            </w:r>
          </w:p>
        </w:tc>
      </w:tr>
      <w:tr w:rsidR="00E42893" w:rsidRPr="00E42893" w14:paraId="05111974" w14:textId="77777777" w:rsidTr="00E42893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7D77F6F" w14:textId="77777777" w:rsidR="00E42893" w:rsidRPr="00E42893" w:rsidRDefault="00E42893" w:rsidP="00E4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Could not Verify Identity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A59B" w14:textId="77777777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14D0" w14:textId="77777777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£11,850.00</w:t>
            </w:r>
          </w:p>
        </w:tc>
      </w:tr>
      <w:tr w:rsidR="00E42893" w:rsidRPr="00E42893" w14:paraId="2E422081" w14:textId="77777777" w:rsidTr="00E42893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0A18DB" w14:textId="77777777" w:rsidR="00E42893" w:rsidRPr="00E42893" w:rsidRDefault="00E42893" w:rsidP="00E42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687FB9" w14:textId="77777777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F8A0EC" w14:textId="77777777" w:rsidR="00E42893" w:rsidRPr="00E42893" w:rsidRDefault="00E42893" w:rsidP="00E42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893">
              <w:rPr>
                <w:rFonts w:ascii="Calibri" w:eastAsia="Times New Roman" w:hAnsi="Calibri" w:cs="Calibri"/>
                <w:color w:val="000000"/>
                <w:lang w:eastAsia="en-GB"/>
              </w:rPr>
              <w:t>£161,550.00</w:t>
            </w:r>
          </w:p>
        </w:tc>
      </w:tr>
    </w:tbl>
    <w:p w14:paraId="39E5B321" w14:textId="62A1F75B" w:rsidR="00E2316D" w:rsidRDefault="00D9137C" w:rsidP="009665A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64DEA" wp14:editId="0939806B">
                <wp:simplePos x="0" y="0"/>
                <wp:positionH relativeFrom="column">
                  <wp:posOffset>5332340</wp:posOffset>
                </wp:positionH>
                <wp:positionV relativeFrom="paragraph">
                  <wp:posOffset>399317</wp:posOffset>
                </wp:positionV>
                <wp:extent cx="2374265" cy="1403985"/>
                <wp:effectExtent l="0" t="0" r="1714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C9DEF" w14:textId="4F89F6C7" w:rsidR="00A708DB" w:rsidRDefault="00A708DB">
                            <w:r>
                              <w:t>SBGF – Small Business Grant Fund</w:t>
                            </w:r>
                          </w:p>
                          <w:p w14:paraId="649BFEC7" w14:textId="3B042758" w:rsidR="00A708DB" w:rsidRDefault="00A708DB">
                            <w:r>
                              <w:t>RLHGF – Retail, Hospitality &amp; Leisure Grant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64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85pt;margin-top:31.4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">
                <v:textbox style="mso-fit-shape-to-text:t">
                  <w:txbxContent>
                    <w:p w14:paraId="2BEC9DEF" w14:textId="4F89F6C7" w:rsidR="00A708DB" w:rsidRDefault="00A708DB">
                      <w:r>
                        <w:t>SBGF – Small Business Grant Fund</w:t>
                      </w:r>
                    </w:p>
                    <w:p w14:paraId="649BFEC7" w14:textId="3B042758" w:rsidR="00A708DB" w:rsidRDefault="00A708DB">
                      <w:r>
                        <w:t>RLHGF – Retail, Hospitality &amp; Leisure Grant Fund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316D" w:rsidSect="00016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E5E80" w14:textId="77777777" w:rsidR="008A24A2" w:rsidRDefault="008A24A2" w:rsidP="00E2316D">
      <w:pPr>
        <w:spacing w:after="0" w:line="240" w:lineRule="auto"/>
      </w:pPr>
      <w:r>
        <w:separator/>
      </w:r>
    </w:p>
  </w:endnote>
  <w:endnote w:type="continuationSeparator" w:id="0">
    <w:p w14:paraId="317B4392" w14:textId="77777777" w:rsidR="008A24A2" w:rsidRDefault="008A24A2" w:rsidP="00E2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EE4D" w14:textId="77777777" w:rsidR="001028C8" w:rsidRDefault="00102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F2F84" w14:textId="77777777" w:rsidR="001028C8" w:rsidRDefault="001028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CAB63" w14:textId="77777777" w:rsidR="001028C8" w:rsidRDefault="00102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6C43A" w14:textId="77777777" w:rsidR="008A24A2" w:rsidRDefault="008A24A2" w:rsidP="00E2316D">
      <w:pPr>
        <w:spacing w:after="0" w:line="240" w:lineRule="auto"/>
      </w:pPr>
      <w:r>
        <w:separator/>
      </w:r>
    </w:p>
  </w:footnote>
  <w:footnote w:type="continuationSeparator" w:id="0">
    <w:p w14:paraId="339F40B6" w14:textId="77777777" w:rsidR="008A24A2" w:rsidRDefault="008A24A2" w:rsidP="00E2316D">
      <w:pPr>
        <w:spacing w:after="0" w:line="240" w:lineRule="auto"/>
      </w:pPr>
      <w:r>
        <w:continuationSeparator/>
      </w:r>
    </w:p>
  </w:footnote>
  <w:footnote w:id="1">
    <w:p w14:paraId="39C251D7" w14:textId="68383D73" w:rsidR="009665A4" w:rsidRPr="003C0CF6" w:rsidRDefault="009665A4">
      <w:pPr>
        <w:pStyle w:val="FootnoteText"/>
        <w:rPr>
          <w:sz w:val="18"/>
        </w:rPr>
      </w:pPr>
    </w:p>
  </w:footnote>
  <w:footnote w:id="2">
    <w:p w14:paraId="6ECA8550" w14:textId="3498E28E" w:rsidR="009665A4" w:rsidRPr="003C0CF6" w:rsidRDefault="009665A4">
      <w:pPr>
        <w:pStyle w:val="FootnoteText"/>
        <w:rPr>
          <w:sz w:val="18"/>
        </w:rPr>
      </w:pPr>
    </w:p>
  </w:footnote>
  <w:footnote w:id="3">
    <w:p w14:paraId="6A693097" w14:textId="02A95119" w:rsidR="009665A4" w:rsidRPr="003C0CF6" w:rsidRDefault="009665A4">
      <w:pPr>
        <w:pStyle w:val="FootnoteText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5C9CF" w14:textId="77777777" w:rsidR="001028C8" w:rsidRDefault="00102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4973" w14:textId="6129ABBF" w:rsidR="001028C8" w:rsidRDefault="00E2316D" w:rsidP="00D9137C">
    <w:pPr>
      <w:pStyle w:val="Header"/>
      <w:tabs>
        <w:tab w:val="left" w:pos="8789"/>
      </w:tabs>
    </w:pPr>
    <w:r w:rsidRPr="00E2316D">
      <w:t>Audit and Governance Committee</w:t>
    </w:r>
    <w:r>
      <w:t xml:space="preserve"> </w:t>
    </w:r>
    <w:r w:rsidR="0060005B">
      <w:t xml:space="preserve">– </w:t>
    </w:r>
    <w:r w:rsidR="001028C8">
      <w:t xml:space="preserve">24 November </w:t>
    </w:r>
    <w:r w:rsidR="0060005B">
      <w:t>2020</w:t>
    </w:r>
    <w:bookmarkStart w:id="0" w:name="_GoBack"/>
    <w:bookmarkEnd w:id="0"/>
  </w:p>
  <w:p w14:paraId="362F2639" w14:textId="4E279FC8" w:rsidR="0060005B" w:rsidRDefault="001028C8" w:rsidP="00D9137C">
    <w:pPr>
      <w:pStyle w:val="Header"/>
      <w:tabs>
        <w:tab w:val="left" w:pos="8789"/>
      </w:tabs>
    </w:pPr>
    <w:r>
      <w:t>Investigation Service annual report</w:t>
    </w:r>
    <w:r>
      <w:tab/>
    </w:r>
    <w:r w:rsidR="00D9137C">
      <w:tab/>
      <w:t>Appendix 2</w:t>
    </w:r>
    <w:r w:rsidR="0060005B">
      <w:t xml:space="preserve"> – Business Grants Counter Fraud Activity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09112" w14:textId="77777777" w:rsidR="001028C8" w:rsidRDefault="00102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6F3"/>
    <w:multiLevelType w:val="hybridMultilevel"/>
    <w:tmpl w:val="76F8AE3C"/>
    <w:lvl w:ilvl="0" w:tplc="B4DE5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352A"/>
    <w:multiLevelType w:val="hybridMultilevel"/>
    <w:tmpl w:val="B104945A"/>
    <w:lvl w:ilvl="0" w:tplc="773CD7C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115B"/>
    <w:multiLevelType w:val="hybridMultilevel"/>
    <w:tmpl w:val="6CD6CD94"/>
    <w:lvl w:ilvl="0" w:tplc="37646CC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80562"/>
    <w:multiLevelType w:val="hybridMultilevel"/>
    <w:tmpl w:val="BABA139C"/>
    <w:lvl w:ilvl="0" w:tplc="618E15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6D"/>
    <w:rsid w:val="00006DC5"/>
    <w:rsid w:val="00016AEE"/>
    <w:rsid w:val="00027295"/>
    <w:rsid w:val="000537FE"/>
    <w:rsid w:val="00057AC4"/>
    <w:rsid w:val="000636D1"/>
    <w:rsid w:val="000D322C"/>
    <w:rsid w:val="001028C8"/>
    <w:rsid w:val="00125E27"/>
    <w:rsid w:val="00206DA8"/>
    <w:rsid w:val="0025483F"/>
    <w:rsid w:val="00262481"/>
    <w:rsid w:val="00320D3D"/>
    <w:rsid w:val="0039656B"/>
    <w:rsid w:val="003C0CF6"/>
    <w:rsid w:val="003F1756"/>
    <w:rsid w:val="0060005B"/>
    <w:rsid w:val="00612065"/>
    <w:rsid w:val="00704EE6"/>
    <w:rsid w:val="007E60C0"/>
    <w:rsid w:val="00843C3A"/>
    <w:rsid w:val="008458FC"/>
    <w:rsid w:val="008A24A2"/>
    <w:rsid w:val="009665A4"/>
    <w:rsid w:val="00A708DB"/>
    <w:rsid w:val="00BB5490"/>
    <w:rsid w:val="00BC0B8B"/>
    <w:rsid w:val="00C3057F"/>
    <w:rsid w:val="00C41714"/>
    <w:rsid w:val="00C61075"/>
    <w:rsid w:val="00CA018B"/>
    <w:rsid w:val="00D06073"/>
    <w:rsid w:val="00D23158"/>
    <w:rsid w:val="00D9137C"/>
    <w:rsid w:val="00E2316D"/>
    <w:rsid w:val="00E42893"/>
    <w:rsid w:val="00E62D72"/>
    <w:rsid w:val="00E7245E"/>
    <w:rsid w:val="00F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B261"/>
  <w15:docId w15:val="{C74E1A4E-79C6-44B6-B894-D8BAFEBA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6D"/>
  </w:style>
  <w:style w:type="paragraph" w:styleId="Footer">
    <w:name w:val="footer"/>
    <w:basedOn w:val="Normal"/>
    <w:link w:val="FooterChar"/>
    <w:uiPriority w:val="99"/>
    <w:unhideWhenUsed/>
    <w:rsid w:val="00E23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6D"/>
  </w:style>
  <w:style w:type="paragraph" w:styleId="ListParagraph">
    <w:name w:val="List Paragraph"/>
    <w:basedOn w:val="Normal"/>
    <w:uiPriority w:val="34"/>
    <w:qFormat/>
    <w:rsid w:val="00E2316D"/>
    <w:pPr>
      <w:ind w:left="720"/>
      <w:contextualSpacing/>
    </w:pPr>
  </w:style>
  <w:style w:type="table" w:styleId="TableGrid">
    <w:name w:val="Table Grid"/>
    <w:basedOn w:val="TableNormal"/>
    <w:uiPriority w:val="39"/>
    <w:rsid w:val="00C3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428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8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8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C0F4-51FC-48DE-9818-604BF393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BCFD935D.dotm</Template>
  <TotalTime>57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LAERKE-HALL Magnus</dc:creator>
  <cp:lastModifiedBy>THOMPSON Jennifer</cp:lastModifiedBy>
  <cp:revision>9</cp:revision>
  <dcterms:created xsi:type="dcterms:W3CDTF">2020-09-29T16:31:00Z</dcterms:created>
  <dcterms:modified xsi:type="dcterms:W3CDTF">2020-11-13T14:50:00Z</dcterms:modified>
</cp:coreProperties>
</file>